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983E" w14:textId="77777777" w:rsidR="002661AE" w:rsidRDefault="002661AE">
      <w:pPr>
        <w:jc w:val="right"/>
        <w:rPr>
          <w:rFonts w:eastAsia="Arial Unicode MS" w:cs="Arial"/>
          <w:b/>
          <w:szCs w:val="22"/>
          <w:u w:val="single"/>
        </w:rPr>
      </w:pPr>
    </w:p>
    <w:p w14:paraId="1C6F2C09" w14:textId="77777777" w:rsidR="002661AE" w:rsidRDefault="0024262E">
      <w:pPr>
        <w:jc w:val="center"/>
        <w:rPr>
          <w:rFonts w:eastAsia="Arial Unicode MS" w:cs="Arial"/>
          <w:b/>
          <w:szCs w:val="22"/>
          <w:u w:val="single"/>
        </w:rPr>
      </w:pPr>
      <w:r>
        <w:rPr>
          <w:rFonts w:eastAsia="Arial Unicode MS" w:cs="Arial"/>
          <w:b/>
          <w:szCs w:val="22"/>
          <w:u w:val="single"/>
        </w:rPr>
        <w:t xml:space="preserve">Annex I - </w:t>
      </w:r>
      <w:r w:rsidR="002661AE">
        <w:rPr>
          <w:rFonts w:eastAsia="Arial Unicode MS" w:cs="Arial"/>
          <w:b/>
          <w:szCs w:val="22"/>
          <w:u w:val="single"/>
        </w:rPr>
        <w:t>Timber and Wood containing products supplied under the contract</w:t>
      </w:r>
    </w:p>
    <w:p w14:paraId="6FF920DF" w14:textId="77777777" w:rsidR="002661AE" w:rsidRDefault="002661AE">
      <w:pPr>
        <w:jc w:val="right"/>
        <w:rPr>
          <w:rFonts w:eastAsia="Arial Unicode MS" w:cs="Arial"/>
          <w:color w:val="FF0000"/>
          <w:szCs w:val="22"/>
        </w:rPr>
      </w:pPr>
    </w:p>
    <w:p w14:paraId="436EEF6A" w14:textId="77777777" w:rsidR="002661AE" w:rsidRDefault="002661AE">
      <w:pPr>
        <w:ind w:left="12"/>
        <w:rPr>
          <w:rFonts w:cs="Arial"/>
          <w:szCs w:val="22"/>
        </w:rPr>
      </w:pPr>
      <w:r>
        <w:rPr>
          <w:rFonts w:eastAsia="Arial Unicode MS" w:cs="Arial"/>
          <w:caps/>
          <w:szCs w:val="22"/>
        </w:rPr>
        <w:t>1.1</w:t>
      </w:r>
      <w:r>
        <w:rPr>
          <w:rFonts w:eastAsia="Arial Unicode MS" w:cs="Arial"/>
          <w:caps/>
          <w:szCs w:val="22"/>
        </w:rPr>
        <w:tab/>
      </w:r>
      <w:r>
        <w:rPr>
          <w:rFonts w:cs="Arial"/>
          <w:szCs w:val="22"/>
        </w:rPr>
        <w:t>It is the employer’s policy that all timber or wood-containing products should be procured from sustainable sources. In addition, tropical hardwood should be independently verified as sourced from forests and plantations which are managed to sustain their biodiversity, productivity and vitality, and to prevent harm to other ecosystems and any indigenous or forest-dependent people. Where practicable, the use of reclaimed timber or timber products should be considered. All procurements must comply with international agreements such as the convention on international trade in endangered species of wild fauna and flora (cites), where applicable.</w:t>
      </w:r>
    </w:p>
    <w:p w14:paraId="11E39EA3" w14:textId="77777777" w:rsidR="002661AE" w:rsidRDefault="002661AE">
      <w:pPr>
        <w:rPr>
          <w:rFonts w:eastAsia="Arial Unicode MS" w:cs="Arial"/>
          <w:szCs w:val="22"/>
        </w:rPr>
      </w:pPr>
    </w:p>
    <w:p w14:paraId="6449809F" w14:textId="77777777" w:rsidR="002661AE" w:rsidRDefault="002661AE">
      <w:pPr>
        <w:ind w:left="12"/>
        <w:rPr>
          <w:rFonts w:cs="Arial"/>
          <w:caps/>
          <w:szCs w:val="22"/>
        </w:rPr>
      </w:pPr>
      <w:r>
        <w:rPr>
          <w:rFonts w:eastAsia="Arial Unicode MS" w:cs="Arial"/>
          <w:caps/>
          <w:szCs w:val="22"/>
        </w:rPr>
        <w:t>1.2</w:t>
      </w:r>
      <w:r>
        <w:rPr>
          <w:rFonts w:eastAsia="Arial Unicode MS" w:cs="Arial"/>
          <w:caps/>
          <w:szCs w:val="22"/>
        </w:rPr>
        <w:tab/>
      </w:r>
      <w:r>
        <w:rPr>
          <w:rFonts w:cs="Arial"/>
          <w:szCs w:val="22"/>
        </w:rPr>
        <w:t>The contractor shall comply with the employer’s policy on procurement of timber and wood-containing products (as set out in 1.1). The contractor shall ensure that:</w:t>
      </w:r>
    </w:p>
    <w:p w14:paraId="72D83072" w14:textId="77777777" w:rsidR="002661AE" w:rsidRDefault="002661AE">
      <w:pPr>
        <w:ind w:left="12"/>
        <w:rPr>
          <w:rFonts w:cs="Arial"/>
          <w:szCs w:val="22"/>
        </w:rPr>
      </w:pPr>
    </w:p>
    <w:p w14:paraId="6AC779B3" w14:textId="77777777" w:rsidR="002661AE" w:rsidRDefault="002661AE">
      <w:pPr>
        <w:ind w:left="720"/>
        <w:rPr>
          <w:rFonts w:cs="Arial"/>
          <w:caps/>
          <w:szCs w:val="22"/>
        </w:rPr>
      </w:pPr>
      <w:r>
        <w:rPr>
          <w:rFonts w:cs="Arial"/>
          <w:szCs w:val="22"/>
        </w:rPr>
        <w:t>a) all timber (as defined in clause 1.2c), delivered to the</w:t>
      </w:r>
      <w:r>
        <w:rPr>
          <w:rFonts w:cs="Arial"/>
          <w:caps/>
          <w:szCs w:val="22"/>
        </w:rPr>
        <w:t xml:space="preserve"> </w:t>
      </w:r>
      <w:r>
        <w:rPr>
          <w:rFonts w:cs="Arial"/>
          <w:szCs w:val="22"/>
        </w:rPr>
        <w:t>employer under the contract or consumed during performance of the contract shall derive from trees or other plants that have been harvested and exported in strict accordance with the applicable law or laws of the country in which the trees or other plants grew; and</w:t>
      </w:r>
    </w:p>
    <w:p w14:paraId="0194C4A3" w14:textId="77777777" w:rsidR="002661AE" w:rsidRDefault="002661AE">
      <w:pPr>
        <w:ind w:left="720"/>
        <w:rPr>
          <w:rFonts w:cs="Arial"/>
          <w:szCs w:val="22"/>
        </w:rPr>
      </w:pPr>
    </w:p>
    <w:p w14:paraId="43485763" w14:textId="77777777" w:rsidR="002661AE" w:rsidRDefault="002661AE">
      <w:pPr>
        <w:ind w:left="720"/>
        <w:rPr>
          <w:rFonts w:cs="Arial"/>
          <w:caps/>
          <w:szCs w:val="22"/>
        </w:rPr>
      </w:pPr>
      <w:r>
        <w:rPr>
          <w:rFonts w:cs="Arial"/>
          <w:szCs w:val="22"/>
        </w:rPr>
        <w:t>b) where any timber delivered to the employer under the contract or consumed during performance of the contract derives from any species of tree, trade in which is regulated by the convention on international trade in endangered species of wild fauna and flora (cites), the contractor shall comply with the cites requirements that permit trade in that species of tree; and</w:t>
      </w:r>
    </w:p>
    <w:p w14:paraId="494D5751" w14:textId="77777777" w:rsidR="002661AE" w:rsidRDefault="002661AE">
      <w:pPr>
        <w:ind w:left="720"/>
        <w:rPr>
          <w:rFonts w:cs="Arial"/>
          <w:szCs w:val="22"/>
        </w:rPr>
      </w:pPr>
    </w:p>
    <w:p w14:paraId="371BA860" w14:textId="77777777" w:rsidR="002661AE" w:rsidRDefault="002661AE">
      <w:pPr>
        <w:ind w:left="720"/>
        <w:rPr>
          <w:rFonts w:cs="Arial"/>
          <w:szCs w:val="22"/>
        </w:rPr>
      </w:pPr>
      <w:r>
        <w:rPr>
          <w:rFonts w:cs="Arial"/>
          <w:szCs w:val="22"/>
        </w:rPr>
        <w:t>c) all timber and wood-containing products ('timber'), including, but not limited to joinery, fittings, furniture, veneers and non-returnable packaging delivered to the employer under the contract or consumed during performance of the contract are derived from timber lawfully obtained from forests and plantations which are managed to sustain their biodiversity, productivity and vitality, and to prevent harm to other ecosystems and any indigenous or forest-dependent people.</w:t>
      </w:r>
    </w:p>
    <w:p w14:paraId="3B173E92" w14:textId="77777777" w:rsidR="002661AE" w:rsidRDefault="002661AE">
      <w:pPr>
        <w:jc w:val="right"/>
        <w:rPr>
          <w:rFonts w:eastAsia="Arial Unicode MS" w:cs="Arial"/>
          <w:szCs w:val="22"/>
        </w:rPr>
      </w:pPr>
    </w:p>
    <w:p w14:paraId="05C83CC3" w14:textId="77777777" w:rsidR="002661AE" w:rsidRDefault="002661AE">
      <w:pPr>
        <w:ind w:left="12"/>
        <w:rPr>
          <w:rFonts w:cs="Arial"/>
          <w:caps/>
          <w:szCs w:val="22"/>
        </w:rPr>
      </w:pPr>
      <w:r>
        <w:rPr>
          <w:rFonts w:eastAsia="Arial Unicode MS" w:cs="Arial"/>
          <w:caps/>
          <w:szCs w:val="22"/>
        </w:rPr>
        <w:t>1.3</w:t>
      </w:r>
      <w:r>
        <w:rPr>
          <w:rFonts w:eastAsia="Arial Unicode MS" w:cs="Arial"/>
          <w:caps/>
          <w:szCs w:val="22"/>
        </w:rPr>
        <w:tab/>
      </w:r>
      <w:r>
        <w:rPr>
          <w:rFonts w:cs="Arial"/>
          <w:szCs w:val="22"/>
        </w:rPr>
        <w:t>In respect of each delivery of timber to the employer under the contract, and all timber consumed during performance of the contract:</w:t>
      </w:r>
    </w:p>
    <w:p w14:paraId="6DCFB085" w14:textId="77777777" w:rsidR="002661AE" w:rsidRDefault="002661AE">
      <w:pPr>
        <w:ind w:left="12"/>
        <w:rPr>
          <w:rFonts w:cs="Arial"/>
          <w:szCs w:val="22"/>
        </w:rPr>
      </w:pPr>
    </w:p>
    <w:p w14:paraId="53B3DA8C" w14:textId="77777777" w:rsidR="002661AE" w:rsidRDefault="002661AE">
      <w:pPr>
        <w:ind w:left="720"/>
        <w:rPr>
          <w:rFonts w:cs="Arial"/>
          <w:caps/>
          <w:szCs w:val="22"/>
        </w:rPr>
      </w:pPr>
      <w:r>
        <w:rPr>
          <w:rFonts w:cs="Arial"/>
          <w:szCs w:val="22"/>
        </w:rPr>
        <w:t>a) the contractor shall obtain and retain documentary evidence that such timber has been procured in accordance with clause 1.2;</w:t>
      </w:r>
    </w:p>
    <w:p w14:paraId="35D40CFE" w14:textId="77777777" w:rsidR="002661AE" w:rsidRDefault="002661AE">
      <w:pPr>
        <w:ind w:left="720"/>
        <w:rPr>
          <w:rFonts w:cs="Arial"/>
          <w:szCs w:val="22"/>
        </w:rPr>
      </w:pPr>
    </w:p>
    <w:p w14:paraId="230347D7" w14:textId="77777777" w:rsidR="002661AE" w:rsidRDefault="002661AE">
      <w:pPr>
        <w:ind w:left="720"/>
        <w:rPr>
          <w:rFonts w:cs="Arial"/>
          <w:caps/>
          <w:szCs w:val="22"/>
        </w:rPr>
      </w:pPr>
      <w:r>
        <w:rPr>
          <w:rFonts w:cs="Arial"/>
          <w:szCs w:val="22"/>
        </w:rPr>
        <w:t>b) such documentary evidence shall include, but may not be limited to, certification by properly accredited organisations to meet the standards set by the forest stewardship council or equivalent body. The contractor shall be responsible for demonstrating the authenticity of such certification; and</w:t>
      </w:r>
    </w:p>
    <w:p w14:paraId="4FE7B53B" w14:textId="77777777" w:rsidR="002661AE" w:rsidRDefault="002661AE">
      <w:pPr>
        <w:ind w:left="720"/>
        <w:rPr>
          <w:rFonts w:cs="Arial"/>
          <w:szCs w:val="22"/>
        </w:rPr>
      </w:pPr>
    </w:p>
    <w:p w14:paraId="07208622" w14:textId="77777777" w:rsidR="002661AE" w:rsidRDefault="002661AE">
      <w:pPr>
        <w:ind w:left="720"/>
        <w:rPr>
          <w:rFonts w:cs="Arial"/>
          <w:szCs w:val="22"/>
        </w:rPr>
      </w:pPr>
      <w:r>
        <w:rPr>
          <w:rFonts w:cs="Arial"/>
          <w:szCs w:val="22"/>
        </w:rPr>
        <w:t>c) where the timber to be delivered under the contract or consumed during performance of the contract is tropical hardwood, the contractor shall obtain independent verification of the documentary evidence required under this clause.</w:t>
      </w:r>
    </w:p>
    <w:p w14:paraId="05C676D6" w14:textId="77777777" w:rsidR="002661AE" w:rsidRDefault="002661AE">
      <w:pPr>
        <w:jc w:val="right"/>
        <w:rPr>
          <w:rFonts w:eastAsia="Arial Unicode MS" w:cs="Arial"/>
          <w:szCs w:val="22"/>
        </w:rPr>
      </w:pPr>
    </w:p>
    <w:p w14:paraId="29C990DD" w14:textId="77777777" w:rsidR="002661AE" w:rsidRDefault="002661AE">
      <w:pPr>
        <w:ind w:left="12"/>
        <w:rPr>
          <w:rFonts w:cs="Arial"/>
          <w:szCs w:val="22"/>
        </w:rPr>
      </w:pPr>
      <w:r>
        <w:rPr>
          <w:rFonts w:eastAsia="Arial Unicode MS" w:cs="Arial"/>
          <w:caps/>
          <w:szCs w:val="22"/>
        </w:rPr>
        <w:t>1.4</w:t>
      </w:r>
      <w:r>
        <w:rPr>
          <w:rFonts w:eastAsia="Arial Unicode MS" w:cs="Arial"/>
          <w:caps/>
          <w:szCs w:val="22"/>
        </w:rPr>
        <w:tab/>
      </w:r>
      <w:r>
        <w:rPr>
          <w:rFonts w:cs="Arial"/>
          <w:szCs w:val="22"/>
        </w:rPr>
        <w:t>The employer reserves the right at any time during the performance of the contract and for a period of 6 years from final delivery under the contract to require the contractor to produce the documentary evidence, and independent verification where applicable, required by clause 1.3, for the employer’s inspection within 14 days of the employer’s written request.</w:t>
      </w:r>
    </w:p>
    <w:p w14:paraId="34C72CB4" w14:textId="77777777" w:rsidR="002661AE" w:rsidRDefault="002661AE">
      <w:pPr>
        <w:jc w:val="right"/>
        <w:rPr>
          <w:rFonts w:eastAsia="Arial Unicode MS" w:cs="Arial"/>
          <w:szCs w:val="22"/>
        </w:rPr>
      </w:pPr>
    </w:p>
    <w:p w14:paraId="580AB4A1" w14:textId="77777777" w:rsidR="002661AE" w:rsidRDefault="002661AE">
      <w:pPr>
        <w:rPr>
          <w:rFonts w:cs="Arial"/>
          <w:szCs w:val="22"/>
        </w:rPr>
      </w:pPr>
      <w:r>
        <w:rPr>
          <w:rFonts w:eastAsia="Arial Unicode MS" w:cs="Arial"/>
          <w:caps/>
          <w:szCs w:val="22"/>
        </w:rPr>
        <w:t>1.5</w:t>
      </w:r>
      <w:r>
        <w:rPr>
          <w:rFonts w:eastAsia="Arial Unicode MS" w:cs="Arial"/>
          <w:caps/>
          <w:szCs w:val="22"/>
        </w:rPr>
        <w:tab/>
      </w:r>
      <w:r>
        <w:rPr>
          <w:rFonts w:cs="Arial"/>
          <w:szCs w:val="22"/>
        </w:rPr>
        <w:t>The contractor shall provide to the employer, using Annex A to this Appendix, such data or information as the employer requires in respect of timber delivered to the employer in accordance with clause 2 under the contract, or at such other frequency as stated in the contract. The contractor shall send all completed Annex A to this Appendix, including nil returns where appropriate, to the employer’s commercial branch identified in the appendix to contract. Annex A to this Appendix may be amended by the employer from time to time.</w:t>
      </w:r>
    </w:p>
    <w:p w14:paraId="2DC06A04" w14:textId="77777777" w:rsidR="002661AE" w:rsidRDefault="002661AE">
      <w:pPr>
        <w:jc w:val="right"/>
        <w:rPr>
          <w:rFonts w:eastAsia="Arial Unicode MS" w:cs="Arial"/>
          <w:szCs w:val="22"/>
        </w:rPr>
      </w:pPr>
    </w:p>
    <w:p w14:paraId="49AFFA03" w14:textId="77777777" w:rsidR="002661AE" w:rsidRDefault="002661AE">
      <w:pPr>
        <w:ind w:left="12"/>
        <w:rPr>
          <w:rFonts w:cs="Arial"/>
          <w:szCs w:val="22"/>
        </w:rPr>
      </w:pPr>
      <w:r>
        <w:rPr>
          <w:rFonts w:eastAsia="Arial Unicode MS" w:cs="Arial"/>
          <w:caps/>
          <w:szCs w:val="22"/>
        </w:rPr>
        <w:t>1.6</w:t>
      </w:r>
      <w:r>
        <w:rPr>
          <w:rFonts w:eastAsia="Arial Unicode MS" w:cs="Arial"/>
          <w:caps/>
          <w:szCs w:val="22"/>
        </w:rPr>
        <w:tab/>
      </w:r>
      <w:r>
        <w:rPr>
          <w:rFonts w:cs="Arial"/>
          <w:szCs w:val="22"/>
        </w:rPr>
        <w:t>The Contractor shall provide all documentary evidence, independent verification, data and other information required by this condition in a form acceptable to the employer, which may include electronic means.</w:t>
      </w:r>
    </w:p>
    <w:p w14:paraId="7F1727C4" w14:textId="77777777" w:rsidR="002661AE" w:rsidRDefault="002661AE">
      <w:pPr>
        <w:jc w:val="right"/>
        <w:rPr>
          <w:rFonts w:eastAsia="Arial Unicode MS" w:cs="Arial"/>
          <w:szCs w:val="22"/>
        </w:rPr>
      </w:pPr>
    </w:p>
    <w:p w14:paraId="365D92E0" w14:textId="77777777" w:rsidR="002661AE" w:rsidRDefault="002661AE">
      <w:pPr>
        <w:ind w:left="12"/>
        <w:rPr>
          <w:rFonts w:cs="Arial"/>
          <w:szCs w:val="22"/>
        </w:rPr>
      </w:pPr>
      <w:r>
        <w:rPr>
          <w:rFonts w:eastAsia="Arial Unicode MS" w:cs="Arial"/>
          <w:caps/>
          <w:szCs w:val="22"/>
        </w:rPr>
        <w:t>1.7</w:t>
      </w:r>
      <w:r>
        <w:rPr>
          <w:rFonts w:eastAsia="Arial Unicode MS" w:cs="Arial"/>
          <w:caps/>
          <w:szCs w:val="22"/>
        </w:rPr>
        <w:tab/>
      </w:r>
      <w:r>
        <w:rPr>
          <w:rFonts w:cs="Arial"/>
          <w:szCs w:val="22"/>
        </w:rPr>
        <w:t>The employer reserves the right to reject any timber delivered which does not comply with the provisions of clause 1.2, or for which the contractor has not obtained such documentary evidence or independent verification of such evidence as required by clause 1.3. Where the employer exercises its right to reject any timber, such rejection shall not constitute a compensation event and the contractor shall supply alternative timber which complies with the provisions of clause 1.2 at no additional cost to the employer and within a period to be determined by the employer</w:t>
      </w:r>
      <w:r>
        <w:rPr>
          <w:rFonts w:cs="Arial"/>
          <w:caps/>
          <w:szCs w:val="22"/>
        </w:rPr>
        <w:t>.</w:t>
      </w:r>
    </w:p>
    <w:p w14:paraId="3ED85AD7" w14:textId="77777777" w:rsidR="002661AE" w:rsidRDefault="002661AE">
      <w:pPr>
        <w:jc w:val="right"/>
        <w:rPr>
          <w:rFonts w:eastAsia="Arial Unicode MS" w:cs="Arial"/>
          <w:szCs w:val="22"/>
        </w:rPr>
      </w:pPr>
    </w:p>
    <w:p w14:paraId="0D21BE2E" w14:textId="77777777" w:rsidR="002661AE" w:rsidRDefault="002661AE">
      <w:pPr>
        <w:ind w:left="12"/>
        <w:rPr>
          <w:rFonts w:cs="Arial"/>
          <w:szCs w:val="22"/>
        </w:rPr>
      </w:pPr>
      <w:r>
        <w:rPr>
          <w:rFonts w:eastAsia="Arial Unicode MS" w:cs="Arial"/>
          <w:caps/>
          <w:szCs w:val="22"/>
        </w:rPr>
        <w:t>1.8</w:t>
      </w:r>
      <w:r>
        <w:rPr>
          <w:rFonts w:eastAsia="Arial Unicode MS" w:cs="Arial"/>
          <w:caps/>
          <w:szCs w:val="22"/>
        </w:rPr>
        <w:tab/>
      </w:r>
      <w:r>
        <w:rPr>
          <w:rFonts w:cs="Arial"/>
          <w:szCs w:val="22"/>
        </w:rPr>
        <w:t>The obligations of this clause do not extend to the delivery of reclaimed or recycled timber, which may be used where it fully meets the contract requirements.</w:t>
      </w:r>
    </w:p>
    <w:p w14:paraId="6289968B" w14:textId="77777777" w:rsidR="002661AE" w:rsidRDefault="002661AE">
      <w:pPr>
        <w:jc w:val="right"/>
        <w:rPr>
          <w:rFonts w:eastAsia="Arial Unicode MS" w:cs="Arial"/>
          <w:szCs w:val="22"/>
        </w:rPr>
      </w:pPr>
    </w:p>
    <w:p w14:paraId="5361364D" w14:textId="77777777" w:rsidR="002661AE" w:rsidRDefault="002661AE">
      <w:pPr>
        <w:ind w:left="12"/>
        <w:rPr>
          <w:rFonts w:cs="Arial"/>
          <w:szCs w:val="22"/>
        </w:rPr>
      </w:pPr>
      <w:r>
        <w:rPr>
          <w:rFonts w:eastAsia="Arial Unicode MS" w:cs="Arial"/>
          <w:caps/>
          <w:szCs w:val="22"/>
        </w:rPr>
        <w:t>1.9</w:t>
      </w:r>
      <w:r>
        <w:rPr>
          <w:rFonts w:eastAsia="Arial Unicode MS" w:cs="Arial"/>
          <w:caps/>
          <w:szCs w:val="22"/>
        </w:rPr>
        <w:tab/>
        <w:t>T</w:t>
      </w:r>
      <w:r>
        <w:rPr>
          <w:rFonts w:cs="Arial"/>
          <w:szCs w:val="22"/>
        </w:rPr>
        <w:t>he contractor shall place similar obligations on his subcontractors and shall require his subcontractors to flow down similar obligations to all levels in the supply chain.</w:t>
      </w:r>
    </w:p>
    <w:p w14:paraId="536CFFB6" w14:textId="77777777" w:rsidR="002661AE" w:rsidRDefault="002661AE">
      <w:pPr>
        <w:jc w:val="center"/>
        <w:rPr>
          <w:rFonts w:eastAsia="Arial Unicode MS" w:cs="Arial"/>
          <w:sz w:val="20"/>
        </w:rPr>
      </w:pPr>
    </w:p>
    <w:p w14:paraId="179ADDDC" w14:textId="77777777" w:rsidR="002661AE" w:rsidRDefault="002661AE">
      <w:pPr>
        <w:jc w:val="center"/>
        <w:sectPr w:rsidR="002661AE">
          <w:headerReference w:type="even" r:id="rId9"/>
          <w:headerReference w:type="default" r:id="rId10"/>
          <w:footerReference w:type="even" r:id="rId11"/>
          <w:footerReference w:type="default" r:id="rId12"/>
          <w:headerReference w:type="first" r:id="rId13"/>
          <w:footerReference w:type="first" r:id="rId14"/>
          <w:pgSz w:w="11906" w:h="16838"/>
          <w:pgMar w:top="1134" w:right="992" w:bottom="1985" w:left="992" w:header="709" w:footer="356" w:gutter="0"/>
          <w:cols w:space="708"/>
          <w:docGrid w:linePitch="360"/>
        </w:sectPr>
      </w:pPr>
    </w:p>
    <w:p w14:paraId="2B3DF440" w14:textId="77777777" w:rsidR="002661AE" w:rsidRDefault="000F6604">
      <w:pPr>
        <w:jc w:val="center"/>
        <w:rPr>
          <w:b/>
          <w:sz w:val="28"/>
        </w:rPr>
      </w:pPr>
      <w:r>
        <w:rPr>
          <w:rFonts w:ascii="Times New Roman" w:hAnsi="Times New Roman"/>
          <w:noProof/>
          <w:sz w:val="24"/>
          <w:szCs w:val="24"/>
        </w:rPr>
        <w:lastRenderedPageBreak/>
        <mc:AlternateContent>
          <mc:Choice Requires="wps">
            <w:drawing>
              <wp:anchor distT="0" distB="0" distL="114300" distR="114300" simplePos="0" relativeHeight="251663360" behindDoc="0" locked="0" layoutInCell="0" allowOverlap="1" wp14:anchorId="5B165BC3" wp14:editId="03CB1E63">
                <wp:simplePos x="0" y="0"/>
                <wp:positionH relativeFrom="column">
                  <wp:posOffset>-869950</wp:posOffset>
                </wp:positionH>
                <wp:positionV relativeFrom="paragraph">
                  <wp:posOffset>-372745</wp:posOffset>
                </wp:positionV>
                <wp:extent cx="9963150" cy="7004685"/>
                <wp:effectExtent l="19050" t="19050" r="19050" b="2476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3150" cy="70046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4307F" id="Rectangle 4" o:spid="_x0000_s1026" style="position:absolute;margin-left:-68.5pt;margin-top:-29.35pt;width:784.5pt;height:551.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" o:allowincell="f" filled="f" strokeweight="2.25pt"/>
            </w:pict>
          </mc:Fallback>
        </mc:AlternateContent>
      </w:r>
    </w:p>
    <w:p w14:paraId="02CFFEFD" w14:textId="77777777" w:rsidR="002661AE" w:rsidRDefault="002661AE">
      <w:pPr>
        <w:jc w:val="center"/>
        <w:rPr>
          <w:b/>
          <w:sz w:val="28"/>
        </w:rPr>
      </w:pPr>
      <w:r>
        <w:rPr>
          <w:b/>
          <w:sz w:val="28"/>
        </w:rPr>
        <w:t xml:space="preserve">Timber and Wood-Containing Products Supplied under the Framework Agreement:– </w:t>
      </w:r>
    </w:p>
    <w:p w14:paraId="0075EB2F" w14:textId="77777777" w:rsidR="002661AE" w:rsidRDefault="002661AE">
      <w:pPr>
        <w:jc w:val="center"/>
        <w:rPr>
          <w:b/>
          <w:sz w:val="28"/>
        </w:rPr>
      </w:pPr>
      <w:r>
        <w:rPr>
          <w:b/>
          <w:sz w:val="28"/>
        </w:rPr>
        <w:t>Data Requirements</w:t>
      </w:r>
    </w:p>
    <w:p w14:paraId="46CC1130" w14:textId="77777777" w:rsidR="002661AE" w:rsidRDefault="002661AE">
      <w:pPr>
        <w:jc w:val="center"/>
        <w:rPr>
          <w:b/>
          <w:sz w:val="28"/>
        </w:rPr>
      </w:pPr>
    </w:p>
    <w:p w14:paraId="1DBC483C" w14:textId="77777777" w:rsidR="002661AE" w:rsidRDefault="002661AE">
      <w:pPr>
        <w:jc w:val="center"/>
        <w:rPr>
          <w:b/>
          <w:sz w:val="28"/>
        </w:rPr>
      </w:pPr>
    </w:p>
    <w:p w14:paraId="5B2BD872" w14:textId="77777777" w:rsidR="002661AE" w:rsidRDefault="002661AE">
      <w:pPr>
        <w:pStyle w:val="Heading2"/>
        <w:rPr>
          <w:b w:val="0"/>
        </w:rPr>
      </w:pPr>
      <w:r>
        <w:t xml:space="preserve">FRAMEWORK AGREEMENT No: </w:t>
      </w:r>
      <w:r w:rsidR="00A0544F">
        <w:rPr>
          <w:u w:val="single"/>
        </w:rPr>
        <w:t>****</w:t>
      </w:r>
    </w:p>
    <w:p w14:paraId="3C1B8586" w14:textId="77777777" w:rsidR="002661AE" w:rsidRDefault="002661AE">
      <w:pPr>
        <w:rPr>
          <w:b/>
        </w:rPr>
      </w:pPr>
    </w:p>
    <w:p w14:paraId="06DE460B" w14:textId="77777777" w:rsidR="002661AE" w:rsidRDefault="002661AE">
      <w:pPr>
        <w:rPr>
          <w:b/>
        </w:rPr>
      </w:pPr>
    </w:p>
    <w:p w14:paraId="1831B7BD" w14:textId="77777777" w:rsidR="002661AE" w:rsidRDefault="002661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3"/>
        <w:gridCol w:w="3394"/>
        <w:gridCol w:w="3394"/>
        <w:gridCol w:w="3394"/>
      </w:tblGrid>
      <w:tr w:rsidR="002661AE" w14:paraId="3B4999AC" w14:textId="77777777">
        <w:trPr>
          <w:trHeight w:val="1717"/>
        </w:trPr>
        <w:tc>
          <w:tcPr>
            <w:tcW w:w="3393" w:type="dxa"/>
          </w:tcPr>
          <w:p w14:paraId="466299CA" w14:textId="77777777" w:rsidR="002661AE" w:rsidRDefault="002661AE">
            <w:pPr>
              <w:spacing w:before="120"/>
              <w:rPr>
                <w:b/>
              </w:rPr>
            </w:pPr>
            <w:r>
              <w:rPr>
                <w:b/>
              </w:rPr>
              <w:t>Value  (as delivered to the Employer) of timber with independently verified evidence of sustainability</w:t>
            </w:r>
          </w:p>
        </w:tc>
        <w:tc>
          <w:tcPr>
            <w:tcW w:w="3394" w:type="dxa"/>
          </w:tcPr>
          <w:p w14:paraId="4FB2A2D6" w14:textId="77777777" w:rsidR="002661AE" w:rsidRDefault="002661AE">
            <w:pPr>
              <w:spacing w:before="120"/>
              <w:rPr>
                <w:b/>
              </w:rPr>
            </w:pPr>
            <w:r>
              <w:rPr>
                <w:b/>
              </w:rPr>
              <w:t>Value  (as delivered to the Employer) of timber with evidence of sustainability but no independent verification</w:t>
            </w:r>
          </w:p>
        </w:tc>
        <w:tc>
          <w:tcPr>
            <w:tcW w:w="3394" w:type="dxa"/>
          </w:tcPr>
          <w:p w14:paraId="131DDE63" w14:textId="77777777" w:rsidR="002661AE" w:rsidRDefault="002661AE">
            <w:pPr>
              <w:spacing w:before="120"/>
              <w:rPr>
                <w:b/>
              </w:rPr>
            </w:pPr>
            <w:r>
              <w:rPr>
                <w:b/>
              </w:rPr>
              <w:t>Value (as delivered to the Employer) of timber without evidence of sustainability</w:t>
            </w:r>
          </w:p>
        </w:tc>
        <w:tc>
          <w:tcPr>
            <w:tcW w:w="3394" w:type="dxa"/>
          </w:tcPr>
          <w:p w14:paraId="7BE92BFE" w14:textId="77777777" w:rsidR="002661AE" w:rsidRDefault="002661AE">
            <w:pPr>
              <w:spacing w:before="120"/>
              <w:rPr>
                <w:b/>
              </w:rPr>
            </w:pPr>
            <w:r>
              <w:rPr>
                <w:b/>
              </w:rPr>
              <w:t>Total value  of timber delivered to the Employer under the Contract</w:t>
            </w:r>
          </w:p>
        </w:tc>
      </w:tr>
      <w:tr w:rsidR="002661AE" w14:paraId="6E2E04E6" w14:textId="77777777">
        <w:trPr>
          <w:trHeight w:val="1718"/>
        </w:trPr>
        <w:tc>
          <w:tcPr>
            <w:tcW w:w="3393" w:type="dxa"/>
          </w:tcPr>
          <w:p w14:paraId="119932A1" w14:textId="77777777" w:rsidR="002661AE" w:rsidRDefault="002661AE"/>
          <w:p w14:paraId="3D38077B" w14:textId="77777777" w:rsidR="002661AE" w:rsidRDefault="002661AE"/>
          <w:p w14:paraId="2983CDFB" w14:textId="77777777" w:rsidR="002661AE" w:rsidRDefault="002661AE"/>
          <w:p w14:paraId="4081D6EC" w14:textId="77777777" w:rsidR="002661AE" w:rsidRDefault="002661AE"/>
          <w:p w14:paraId="501EF32D" w14:textId="77777777" w:rsidR="002661AE" w:rsidRDefault="002661AE">
            <w:pPr>
              <w:pStyle w:val="Header"/>
              <w:tabs>
                <w:tab w:val="clear" w:pos="4153"/>
                <w:tab w:val="clear" w:pos="8306"/>
              </w:tabs>
            </w:pPr>
          </w:p>
        </w:tc>
        <w:tc>
          <w:tcPr>
            <w:tcW w:w="3394" w:type="dxa"/>
          </w:tcPr>
          <w:p w14:paraId="4E63DE36" w14:textId="77777777" w:rsidR="002661AE" w:rsidRDefault="002661AE">
            <w:pPr>
              <w:pStyle w:val="Header"/>
              <w:tabs>
                <w:tab w:val="clear" w:pos="4153"/>
                <w:tab w:val="clear" w:pos="8306"/>
              </w:tabs>
            </w:pPr>
          </w:p>
        </w:tc>
        <w:tc>
          <w:tcPr>
            <w:tcW w:w="3394" w:type="dxa"/>
          </w:tcPr>
          <w:p w14:paraId="6850A7CA" w14:textId="77777777" w:rsidR="002661AE" w:rsidRDefault="002661AE">
            <w:r>
              <w:t xml:space="preserve">    </w:t>
            </w:r>
          </w:p>
        </w:tc>
        <w:tc>
          <w:tcPr>
            <w:tcW w:w="3394" w:type="dxa"/>
          </w:tcPr>
          <w:p w14:paraId="7941D8FB" w14:textId="77777777" w:rsidR="002661AE" w:rsidRDefault="002661AE"/>
        </w:tc>
      </w:tr>
    </w:tbl>
    <w:p w14:paraId="767EE529" w14:textId="77777777" w:rsidR="002661AE" w:rsidRDefault="002661AE"/>
    <w:p w14:paraId="7D2A4E9A" w14:textId="77777777" w:rsidR="002661AE" w:rsidRDefault="002661AE"/>
    <w:sectPr w:rsidR="002661AE">
      <w:footerReference w:type="default" r:id="rId15"/>
      <w:pgSz w:w="16838" w:h="11906" w:orient="landscape"/>
      <w:pgMar w:top="992" w:right="1134" w:bottom="992" w:left="1985"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33806" w14:textId="77777777" w:rsidR="008A0A62" w:rsidRDefault="008A0A62">
      <w:r>
        <w:separator/>
      </w:r>
    </w:p>
  </w:endnote>
  <w:endnote w:type="continuationSeparator" w:id="0">
    <w:p w14:paraId="352C8290" w14:textId="77777777" w:rsidR="008A0A62" w:rsidRDefault="008A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267C6" w14:textId="77777777" w:rsidR="00A76C40" w:rsidRDefault="00A76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428529"/>
      <w:docPartObj>
        <w:docPartGallery w:val="Page Numbers (Bottom of Page)"/>
        <w:docPartUnique/>
      </w:docPartObj>
    </w:sdtPr>
    <w:sdtEndPr>
      <w:rPr>
        <w:szCs w:val="22"/>
      </w:rPr>
    </w:sdtEndPr>
    <w:sdtContent>
      <w:sdt>
        <w:sdtPr>
          <w:rPr>
            <w:szCs w:val="22"/>
          </w:rPr>
          <w:id w:val="-1769616900"/>
          <w:docPartObj>
            <w:docPartGallery w:val="Page Numbers (Top of Page)"/>
            <w:docPartUnique/>
          </w:docPartObj>
        </w:sdtPr>
        <w:sdtContent>
          <w:p w14:paraId="60E702AB" w14:textId="77777777" w:rsidR="0024262E" w:rsidRPr="0024262E" w:rsidRDefault="0024262E">
            <w:pPr>
              <w:pStyle w:val="Footer"/>
              <w:jc w:val="right"/>
              <w:rPr>
                <w:szCs w:val="22"/>
              </w:rPr>
            </w:pPr>
            <w:r w:rsidRPr="0024262E">
              <w:rPr>
                <w:sz w:val="24"/>
                <w:szCs w:val="24"/>
              </w:rPr>
              <w:t xml:space="preserve">Page </w:t>
            </w:r>
            <w:r w:rsidRPr="0024262E">
              <w:rPr>
                <w:b/>
                <w:bCs/>
                <w:szCs w:val="22"/>
              </w:rPr>
              <w:fldChar w:fldCharType="begin"/>
            </w:r>
            <w:r w:rsidRPr="0024262E">
              <w:rPr>
                <w:b/>
                <w:bCs/>
                <w:szCs w:val="22"/>
              </w:rPr>
              <w:instrText xml:space="preserve"> PAGE </w:instrText>
            </w:r>
            <w:r w:rsidRPr="0024262E">
              <w:rPr>
                <w:b/>
                <w:bCs/>
                <w:szCs w:val="22"/>
              </w:rPr>
              <w:fldChar w:fldCharType="separate"/>
            </w:r>
            <w:r w:rsidRPr="0024262E">
              <w:rPr>
                <w:b/>
                <w:bCs/>
                <w:noProof/>
                <w:szCs w:val="22"/>
              </w:rPr>
              <w:t>2</w:t>
            </w:r>
            <w:r w:rsidRPr="0024262E">
              <w:rPr>
                <w:b/>
                <w:bCs/>
                <w:szCs w:val="22"/>
              </w:rPr>
              <w:fldChar w:fldCharType="end"/>
            </w:r>
            <w:r w:rsidRPr="0024262E">
              <w:rPr>
                <w:szCs w:val="22"/>
              </w:rPr>
              <w:t xml:space="preserve"> of </w:t>
            </w:r>
            <w:r w:rsidRPr="0024262E">
              <w:rPr>
                <w:b/>
                <w:bCs/>
                <w:szCs w:val="22"/>
              </w:rPr>
              <w:fldChar w:fldCharType="begin"/>
            </w:r>
            <w:r w:rsidRPr="0024262E">
              <w:rPr>
                <w:b/>
                <w:bCs/>
                <w:szCs w:val="22"/>
              </w:rPr>
              <w:instrText xml:space="preserve"> NUMPAGES  </w:instrText>
            </w:r>
            <w:r w:rsidRPr="0024262E">
              <w:rPr>
                <w:b/>
                <w:bCs/>
                <w:szCs w:val="22"/>
              </w:rPr>
              <w:fldChar w:fldCharType="separate"/>
            </w:r>
            <w:r w:rsidRPr="0024262E">
              <w:rPr>
                <w:b/>
                <w:bCs/>
                <w:noProof/>
                <w:szCs w:val="22"/>
              </w:rPr>
              <w:t>2</w:t>
            </w:r>
            <w:r w:rsidRPr="0024262E">
              <w:rPr>
                <w:b/>
                <w:bCs/>
                <w:szCs w:val="22"/>
              </w:rPr>
              <w:fldChar w:fldCharType="end"/>
            </w:r>
          </w:p>
        </w:sdtContent>
      </w:sdt>
    </w:sdtContent>
  </w:sdt>
  <w:p w14:paraId="195E48B8" w14:textId="77777777" w:rsidR="002661AE" w:rsidRDefault="0024262E" w:rsidP="0024262E">
    <w:pPr>
      <w:pStyle w:val="Footer"/>
      <w:jc w:val="center"/>
    </w:pPr>
    <w: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3A42A" w14:textId="77777777" w:rsidR="00A76C40" w:rsidRDefault="00A76C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28ABD" w14:textId="77777777" w:rsidR="002661AE" w:rsidRDefault="00D82D05">
    <w:pPr>
      <w:pStyle w:val="Footer"/>
      <w:jc w:val="center"/>
      <w:rPr>
        <w:rStyle w:val="PageNumber"/>
      </w:rPr>
    </w:pPr>
    <w:r>
      <w:rPr>
        <w:noProof/>
      </w:rPr>
      <mc:AlternateContent>
        <mc:Choice Requires="wps">
          <w:drawing>
            <wp:anchor distT="0" distB="0" distL="114300" distR="114300" simplePos="0" relativeHeight="251657728" behindDoc="0" locked="0" layoutInCell="1" allowOverlap="1" wp14:anchorId="647FE620" wp14:editId="19AC5629">
              <wp:simplePos x="0" y="0"/>
              <wp:positionH relativeFrom="column">
                <wp:posOffset>4464050</wp:posOffset>
              </wp:positionH>
              <wp:positionV relativeFrom="paragraph">
                <wp:posOffset>1296035</wp:posOffset>
              </wp:positionV>
              <wp:extent cx="5140960" cy="71755"/>
              <wp:effectExtent l="0" t="635" r="0" b="381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0960" cy="71755"/>
                      </a:xfrm>
                      <a:prstGeom prst="rect">
                        <a:avLst/>
                      </a:prstGeom>
                      <a:gradFill rotWithShape="1">
                        <a:gsLst>
                          <a:gs pos="0">
                            <a:srgbClr val="FFFFFF"/>
                          </a:gs>
                          <a:gs pos="100000">
                            <a:srgbClr val="333D47"/>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E1CF49" id="Rectangle 8" o:spid="_x0000_s1026" style="position:absolute;margin-left:351.5pt;margin-top:102.05pt;width:404.8pt;height:5.6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" stroked="f" strokecolor="white">
              <v:fill color2="#333d47" rotate="t" angle="90" focus="100%" type="gradient"/>
              <v:shadow color="#202b30"/>
            </v:rect>
          </w:pict>
        </mc:Fallback>
      </mc:AlternateContent>
    </w:r>
    <w:r>
      <w:rPr>
        <w:noProof/>
      </w:rPr>
      <w:drawing>
        <wp:anchor distT="0" distB="0" distL="114300" distR="114300" simplePos="0" relativeHeight="251658752" behindDoc="0" locked="0" layoutInCell="1" allowOverlap="1" wp14:anchorId="03721207" wp14:editId="4A2A53AF">
          <wp:simplePos x="0" y="0"/>
          <wp:positionH relativeFrom="column">
            <wp:posOffset>2700020</wp:posOffset>
          </wp:positionH>
          <wp:positionV relativeFrom="paragraph">
            <wp:posOffset>3655060</wp:posOffset>
          </wp:positionV>
          <wp:extent cx="1511935" cy="746760"/>
          <wp:effectExtent l="0" t="0" r="0" b="0"/>
          <wp:wrapNone/>
          <wp:docPr id="10" name="Picture 10"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54D942CE" wp14:editId="2DE4B7B2">
              <wp:simplePos x="0" y="0"/>
              <wp:positionH relativeFrom="column">
                <wp:posOffset>720090</wp:posOffset>
              </wp:positionH>
              <wp:positionV relativeFrom="paragraph">
                <wp:posOffset>1511935</wp:posOffset>
              </wp:positionV>
              <wp:extent cx="4643755" cy="71755"/>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3755" cy="71755"/>
                      </a:xfrm>
                      <a:prstGeom prst="rect">
                        <a:avLst/>
                      </a:prstGeom>
                      <a:gradFill rotWithShape="1">
                        <a:gsLst>
                          <a:gs pos="0">
                            <a:srgbClr val="333D47"/>
                          </a:gs>
                          <a:gs pos="100000">
                            <a:srgbClr val="FFFFFF"/>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9471D5" id="Rectangle 14" o:spid="_x0000_s1026" style="position:absolute;margin-left:56.7pt;margin-top:119.05pt;width:365.65pt;height:5.6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" fillcolor="#333d47" stroked="f" strokecolor="white">
              <v:fill rotate="t" angle="90" focus="100%" type="gradient"/>
              <v:shadow color="#202b30"/>
            </v:rect>
          </w:pict>
        </mc:Fallback>
      </mc:AlternateContent>
    </w:r>
    <w:r>
      <w:rPr>
        <w:noProof/>
      </w:rPr>
      <mc:AlternateContent>
        <mc:Choice Requires="wps">
          <w:drawing>
            <wp:anchor distT="0" distB="0" distL="114300" distR="114300" simplePos="0" relativeHeight="251661824" behindDoc="0" locked="0" layoutInCell="1" allowOverlap="1" wp14:anchorId="3A67FFDB" wp14:editId="42CF4661">
              <wp:simplePos x="0" y="0"/>
              <wp:positionH relativeFrom="column">
                <wp:posOffset>720090</wp:posOffset>
              </wp:positionH>
              <wp:positionV relativeFrom="paragraph">
                <wp:posOffset>1511935</wp:posOffset>
              </wp:positionV>
              <wp:extent cx="4643755" cy="71755"/>
              <wp:effectExtent l="0" t="0" r="0" b="0"/>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3755" cy="71755"/>
                      </a:xfrm>
                      <a:prstGeom prst="rect">
                        <a:avLst/>
                      </a:prstGeom>
                      <a:gradFill rotWithShape="1">
                        <a:gsLst>
                          <a:gs pos="0">
                            <a:srgbClr val="333D47"/>
                          </a:gs>
                          <a:gs pos="100000">
                            <a:srgbClr val="FFFFFF"/>
                          </a:gs>
                        </a:gsLst>
                        <a:lin ang="0" scaled="1"/>
                      </a:gradFill>
                      <a:ln>
                        <a:noFill/>
                      </a:ln>
                      <a:effectLst/>
                      <a:extLst>
                        <a:ext uri="{91240B29-F687-4F45-9708-019B960494DF}">
                          <a14:hiddenLine xmlns:a14="http://schemas.microsoft.com/office/drawing/2010/main" w="9525">
                            <a:solidFill>
                              <a:srgbClr val="FFFFFF"/>
                            </a:solidFill>
                            <a:miter lim="800000"/>
                            <a:headEnd/>
                            <a:tailEnd/>
                          </a14:hiddenLine>
                        </a:ext>
                        <a:ext uri="{AF507438-7753-43E0-B8FC-AC1667EBCBE1}">
                          <a14:hiddenEffects xmlns:a14="http://schemas.microsoft.com/office/drawing/2010/main">
                            <a:effectLst>
                              <a:outerShdw dist="35921" dir="2700000" algn="ctr" rotWithShape="0">
                                <a:srgbClr val="202B3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228150" id="Rectangle 13" o:spid="_x0000_s1026" style="position:absolute;margin-left:56.7pt;margin-top:119.05pt;width:365.65pt;height:5.6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" fillcolor="#333d47" stroked="f" strokecolor="white">
              <v:fill rotate="t" angle="90" focus="100%" type="gradient"/>
              <v:shadow color="#202b30"/>
            </v:rect>
          </w:pict>
        </mc:Fallback>
      </mc:AlternateContent>
    </w:r>
    <w:r>
      <w:rPr>
        <w:noProof/>
      </w:rPr>
      <w:drawing>
        <wp:anchor distT="0" distB="0" distL="114300" distR="114300" simplePos="0" relativeHeight="251659776" behindDoc="0" locked="0" layoutInCell="1" allowOverlap="1" wp14:anchorId="24CBDE91" wp14:editId="3C2626A9">
          <wp:simplePos x="0" y="0"/>
          <wp:positionH relativeFrom="column">
            <wp:posOffset>2700020</wp:posOffset>
          </wp:positionH>
          <wp:positionV relativeFrom="paragraph">
            <wp:posOffset>3655060</wp:posOffset>
          </wp:positionV>
          <wp:extent cx="1511935" cy="746760"/>
          <wp:effectExtent l="0" t="0" r="0" b="0"/>
          <wp:wrapNone/>
          <wp:docPr id="11" name="Picture 11"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1EA5EDE6" wp14:editId="5EA4557D">
          <wp:simplePos x="0" y="0"/>
          <wp:positionH relativeFrom="column">
            <wp:posOffset>2700020</wp:posOffset>
          </wp:positionH>
          <wp:positionV relativeFrom="paragraph">
            <wp:posOffset>3655060</wp:posOffset>
          </wp:positionV>
          <wp:extent cx="1511935" cy="746760"/>
          <wp:effectExtent l="0" t="0" r="0" b="0"/>
          <wp:wrapNone/>
          <wp:docPr id="12" name="Picture 12" descr="Logo new c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 new co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46760"/>
                  </a:xfrm>
                  <a:prstGeom prst="rect">
                    <a:avLst/>
                  </a:prstGeom>
                  <a:noFill/>
                </pic:spPr>
              </pic:pic>
            </a:graphicData>
          </a:graphic>
          <wp14:sizeRelH relativeFrom="page">
            <wp14:pctWidth>0</wp14:pctWidth>
          </wp14:sizeRelH>
          <wp14:sizeRelV relativeFrom="page">
            <wp14:pctHeight>0</wp14:pctHeight>
          </wp14:sizeRelV>
        </wp:anchor>
      </w:drawing>
    </w:r>
    <w:r w:rsidR="002661AE">
      <w:rPr>
        <w:rStyle w:val="PageNumber"/>
      </w:rPr>
      <w:fldChar w:fldCharType="begin"/>
    </w:r>
    <w:r w:rsidR="002661AE">
      <w:rPr>
        <w:rStyle w:val="PageNumber"/>
      </w:rPr>
      <w:instrText xml:space="preserve"> PAGE </w:instrText>
    </w:r>
    <w:r w:rsidR="002661AE">
      <w:rPr>
        <w:rStyle w:val="PageNumber"/>
      </w:rPr>
      <w:fldChar w:fldCharType="separate"/>
    </w:r>
    <w:r w:rsidR="000F6604">
      <w:rPr>
        <w:rStyle w:val="PageNumber"/>
        <w:noProof/>
      </w:rPr>
      <w:t>3</w:t>
    </w:r>
    <w:r w:rsidR="002661AE">
      <w:rPr>
        <w:rStyle w:val="PageNumber"/>
      </w:rPr>
      <w:fldChar w:fldCharType="end"/>
    </w:r>
    <w:r w:rsidR="002661AE">
      <w:rPr>
        <w:rStyle w:val="PageNumber"/>
      </w:rPr>
      <w:t xml:space="preserve"> </w:t>
    </w:r>
  </w:p>
  <w:p w14:paraId="5AF13792" w14:textId="77777777" w:rsidR="002661AE" w:rsidRDefault="002661AE">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194C6" w14:textId="77777777" w:rsidR="008A0A62" w:rsidRDefault="008A0A62">
      <w:r>
        <w:separator/>
      </w:r>
    </w:p>
  </w:footnote>
  <w:footnote w:type="continuationSeparator" w:id="0">
    <w:p w14:paraId="030342C8" w14:textId="77777777" w:rsidR="008A0A62" w:rsidRDefault="008A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E82DC" w14:textId="77777777" w:rsidR="00A76C40" w:rsidRDefault="00A76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7E8BB" w14:textId="58DE4D3C" w:rsidR="0024262E" w:rsidRPr="001A08D3" w:rsidRDefault="0024262E" w:rsidP="0024262E">
    <w:pPr>
      <w:tabs>
        <w:tab w:val="left" w:pos="3876"/>
        <w:tab w:val="right" w:pos="9748"/>
      </w:tabs>
      <w:ind w:left="20" w:right="-28"/>
      <w:jc w:val="right"/>
      <w:rPr>
        <w:rFonts w:eastAsia="Arial" w:cs="Arial"/>
        <w:szCs w:val="22"/>
      </w:rPr>
    </w:pPr>
    <w:r>
      <w:rPr>
        <w:rFonts w:eastAsia="Arial" w:cs="Arial"/>
        <w:szCs w:val="22"/>
      </w:rPr>
      <w:t xml:space="preserve">Annex I to </w:t>
    </w:r>
    <w:r w:rsidRPr="001A08D3">
      <w:rPr>
        <w:rFonts w:eastAsia="Arial" w:cs="Arial"/>
        <w:szCs w:val="22"/>
      </w:rPr>
      <w:t xml:space="preserve">Schedule </w:t>
    </w:r>
    <w:r w:rsidR="00A76C40">
      <w:rPr>
        <w:rFonts w:eastAsia="Arial" w:cs="Arial"/>
        <w:szCs w:val="22"/>
      </w:rPr>
      <w:t>10</w:t>
    </w:r>
    <w:r w:rsidRPr="001A08D3">
      <w:rPr>
        <w:rFonts w:eastAsia="Arial" w:cs="Arial"/>
        <w:szCs w:val="22"/>
      </w:rPr>
      <w:t xml:space="preserve"> </w:t>
    </w:r>
  </w:p>
  <w:p w14:paraId="07B0541C" w14:textId="77777777" w:rsidR="00A76C40" w:rsidRDefault="00A76C40" w:rsidP="00A76C40">
    <w:pPr>
      <w:jc w:val="right"/>
      <w:rPr>
        <w:rFonts w:eastAsia="Arial Unicode MS" w:cs="Arial"/>
        <w:bCs/>
        <w:szCs w:val="22"/>
      </w:rPr>
    </w:pPr>
    <w:r w:rsidRPr="00A76C40">
      <w:rPr>
        <w:rFonts w:eastAsia="Arial Unicode MS" w:cs="Arial"/>
        <w:bCs/>
        <w:szCs w:val="22"/>
      </w:rPr>
      <w:t xml:space="preserve">Timber and Wood containing </w:t>
    </w:r>
  </w:p>
  <w:p w14:paraId="40372394" w14:textId="2C995524" w:rsidR="00A76C40" w:rsidRPr="00A76C40" w:rsidRDefault="00A76C40" w:rsidP="00A76C40">
    <w:pPr>
      <w:jc w:val="right"/>
      <w:rPr>
        <w:rFonts w:eastAsia="Arial Unicode MS" w:cs="Arial"/>
        <w:bCs/>
        <w:szCs w:val="22"/>
      </w:rPr>
    </w:pPr>
    <w:r w:rsidRPr="00A76C40">
      <w:rPr>
        <w:rFonts w:eastAsia="Arial Unicode MS" w:cs="Arial"/>
        <w:bCs/>
        <w:szCs w:val="22"/>
      </w:rPr>
      <w:t xml:space="preserve">products supplied under the </w:t>
    </w:r>
    <w:r w:rsidRPr="00A76C40">
      <w:rPr>
        <w:rFonts w:eastAsia="Arial Unicode MS" w:cs="Arial"/>
        <w:bCs/>
        <w:szCs w:val="22"/>
      </w:rPr>
      <w:t>contract</w:t>
    </w:r>
    <w:bookmarkStart w:id="0" w:name="_GoBack"/>
    <w:bookmarkEnd w:id="0"/>
  </w:p>
  <w:p w14:paraId="2BED8879" w14:textId="56597054" w:rsidR="002661AE" w:rsidRDefault="0024262E" w:rsidP="0024262E">
    <w:pPr>
      <w:jc w:val="right"/>
      <w:rPr>
        <w:szCs w:val="22"/>
      </w:rPr>
    </w:pPr>
    <w:r w:rsidRPr="001A08D3">
      <w:rPr>
        <w:rFonts w:eastAsia="Arial" w:cs="Arial"/>
        <w:szCs w:val="22"/>
      </w:rPr>
      <w:t xml:space="preserve">ITT </w:t>
    </w:r>
    <w:r w:rsidRPr="001A08D3">
      <w:rPr>
        <w:rFonts w:cs="Arial"/>
        <w:szCs w:val="22"/>
      </w:rPr>
      <w:t>Ref - 700723368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07EF6" w14:textId="77777777" w:rsidR="00A76C40" w:rsidRDefault="00A76C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A9F"/>
    <w:rsid w:val="000E4F5F"/>
    <w:rsid w:val="000F6604"/>
    <w:rsid w:val="0024262E"/>
    <w:rsid w:val="002661AE"/>
    <w:rsid w:val="008A0A62"/>
    <w:rsid w:val="00A0544F"/>
    <w:rsid w:val="00A76C40"/>
    <w:rsid w:val="00AA0A9F"/>
    <w:rsid w:val="00D36975"/>
    <w:rsid w:val="00D82D05"/>
    <w:rsid w:val="00E01F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3FAE"/>
  <w15:docId w15:val="{B657EB16-6D4C-4A5F-A11F-DCCFD72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2">
    <w:name w:val="heading 2"/>
    <w:basedOn w:val="Normal"/>
    <w:next w:val="Normal"/>
    <w:qFormat/>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table" w:styleId="TableGrid">
    <w:name w:val="Table Grid"/>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Header">
    <w:name w:val="header"/>
    <w:basedOn w:val="Normal"/>
    <w:pPr>
      <w:tabs>
        <w:tab w:val="center" w:pos="4153"/>
        <w:tab w:val="right" w:pos="8306"/>
      </w:tabs>
    </w:pPr>
  </w:style>
  <w:style w:type="character" w:customStyle="1" w:styleId="FooterChar">
    <w:name w:val="Footer Char"/>
    <w:basedOn w:val="DefaultParagraphFont"/>
    <w:link w:val="Footer"/>
    <w:uiPriority w:val="99"/>
    <w:rsid w:val="0024262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Props1.xml><?xml version="1.0" encoding="utf-8"?>
<ds:datastoreItem xmlns:ds="http://schemas.openxmlformats.org/officeDocument/2006/customXml" ds:itemID="{BAAECEE9-C2D6-49FC-B65E-B4ED9195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067D8-ABA9-4571-A17E-5B08BE553F9A}">
  <ds:schemaRefs>
    <ds:schemaRef ds:uri="http://schemas.microsoft.com/sharepoint/v3/contenttype/forms"/>
  </ds:schemaRefs>
</ds:datastoreItem>
</file>

<file path=customXml/itemProps3.xml><?xml version="1.0" encoding="utf-8"?>
<ds:datastoreItem xmlns:ds="http://schemas.openxmlformats.org/officeDocument/2006/customXml" ds:itemID="{04EB1C20-0D80-4BF4-AF2D-65B4AE05C53E}">
  <ds:schemaRefs>
    <ds:schemaRef ds:uri="http://purl.org/dc/elements/1.1/"/>
    <ds:schemaRef ds:uri="e0a06b77-d8cb-475e-860d-b51a9695776d"/>
    <ds:schemaRef ds:uri="http://schemas.microsoft.com/office/2006/documentManagement/types"/>
    <ds:schemaRef ds:uri="http://purl.org/dc/dcmitype/"/>
    <ds:schemaRef ds:uri="http://schemas.microsoft.com/office/2006/metadata/properties"/>
    <ds:schemaRef ds:uri="http://purl.org/dc/terms/"/>
    <ds:schemaRef ds:uri="63628e35-cb44-48f4-9a8c-21735e2238e7"/>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Timber and wood containing products supplied under the contract</vt:lpstr>
    </vt:vector>
  </TitlesOfParts>
  <Company>Ministry of Defence</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Timber and wood containing products supplied under the contract</dc:title>
  <dc:creator>WarnockD970</dc:creator>
  <cp:lastModifiedBy>Johnson, Amy C1 (DIO Comrcl-O T OPC13)</cp:lastModifiedBy>
  <cp:revision>3</cp:revision>
  <cp:lastPrinted>2013-10-22T16:05:00Z</cp:lastPrinted>
  <dcterms:created xsi:type="dcterms:W3CDTF">2021-02-14T19:58:00Z</dcterms:created>
  <dcterms:modified xsi:type="dcterms:W3CDTF">2021-02-14T19:59:00Z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